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F7B55">
      <w:pPr>
        <w:spacing w:line="480" w:lineRule="auto"/>
        <w:rPr>
          <w:rFonts w:ascii="Times New Roman" w:hAnsi="Times New Roman" w:cs="Times New Roman"/>
          <w:b/>
          <w:bCs w:val="0"/>
          <w:color w:val="000000"/>
          <w:sz w:val="24"/>
          <w:szCs w:val="24"/>
        </w:rPr>
      </w:pPr>
      <w:r>
        <w:rPr>
          <w:rFonts w:ascii="Times New Roman" w:hAnsi="Times New Roman" w:cs="Times New Roman"/>
          <w:b/>
          <w:bCs w:val="0"/>
          <w:color w:val="000000"/>
          <w:sz w:val="24"/>
          <w:szCs w:val="24"/>
        </w:rPr>
        <w:t>Supplementary</w:t>
      </w:r>
      <w:r>
        <w:rPr>
          <w:rFonts w:hint="eastAsia" w:ascii="Times New Roman" w:hAnsi="Times New Roman" w:cs="Times New Roman"/>
          <w:b/>
          <w:bCs w:val="0"/>
          <w:color w:val="000000"/>
          <w:sz w:val="24"/>
          <w:szCs w:val="24"/>
          <w:lang w:val="en-US" w:eastAsia="zh-CN"/>
        </w:rPr>
        <w:t xml:space="preserve"> f</w:t>
      </w:r>
      <w:r>
        <w:rPr>
          <w:rFonts w:ascii="Times New Roman" w:hAnsi="Times New Roman" w:cs="Times New Roman"/>
          <w:b/>
          <w:bCs w:val="0"/>
          <w:color w:val="000000"/>
          <w:sz w:val="24"/>
          <w:szCs w:val="24"/>
        </w:rPr>
        <w:t>igure legends</w:t>
      </w:r>
    </w:p>
    <w:p w14:paraId="0582D210">
      <w:pPr>
        <w:widowControl/>
        <w:spacing w:line="480" w:lineRule="auto"/>
        <w:rPr>
          <w:rFonts w:ascii="Times New Roman" w:hAnsi="Times New Roman" w:cs="Times New Roman"/>
          <w:bCs/>
          <w:color w:val="000000"/>
          <w:szCs w:val="21"/>
        </w:rPr>
      </w:pPr>
      <w:r>
        <w:rPr>
          <w:rFonts w:ascii="Times New Roman" w:hAnsi="Times New Roman" w:cs="Times New Roman"/>
          <w:bCs/>
          <w:color w:val="000000"/>
          <w:szCs w:val="21"/>
        </w:rPr>
        <w:t>Supplementary Figure 1. GOF plots for the final population PK model of tacrolimus in patients with renal transplant. (a). observations versus IPRED; (b). observations versus PRED; (c). CWRES versus PRED; (d). CWRES versus time after first dose. GOF, goodnessof-fit; PK, pharmacokinetic; IPRED, individual predictions; PRED,population predictions; CWRES, conditional weighted residual error.</w:t>
      </w:r>
    </w:p>
    <w:p w14:paraId="06C1597A">
      <w:pPr>
        <w:widowControl/>
        <w:spacing w:line="480" w:lineRule="auto"/>
        <w:rPr>
          <w:rFonts w:ascii="Times New Roman" w:hAnsi="Times New Roman" w:cs="Times New Roman"/>
          <w:bCs/>
          <w:color w:val="000000"/>
          <w:szCs w:val="21"/>
        </w:rPr>
      </w:pPr>
      <w:r>
        <w:rPr>
          <w:rFonts w:ascii="Times New Roman" w:hAnsi="Times New Roman" w:cs="Times New Roman"/>
          <w:bCs/>
          <w:color w:val="000000"/>
          <w:szCs w:val="21"/>
        </w:rPr>
        <w:t>Supplementary Figure 2. Prediction-corrected visual predictive check based on 1000 simulations of the final population PK model. The red solid line is the median line of observations, the red shaded area stands for its 90% prediction interval. The red dashed lines are the 5% and 95% percentile of the observations, and the blue shaded area stand for their 90% prediction intervals, respectively. The blue circles refer to observations. PK, pharmacokinetic.</w:t>
      </w:r>
    </w:p>
    <w:p w14:paraId="4292507F">
      <w:pPr>
        <w:widowControl/>
        <w:spacing w:line="480" w:lineRule="auto"/>
        <w:rPr>
          <w:rFonts w:ascii="Times New Roman" w:hAnsi="Times New Roman" w:cs="Times New Roman"/>
          <w:bCs/>
          <w:color w:val="000000"/>
          <w:szCs w:val="21"/>
        </w:rPr>
      </w:pPr>
      <w:r>
        <w:rPr>
          <w:rFonts w:ascii="Times New Roman" w:hAnsi="Times New Roman" w:cs="Times New Roman"/>
          <w:bCs/>
          <w:color w:val="000000"/>
          <w:szCs w:val="21"/>
        </w:rPr>
        <w:t>Supplementary Figure 3. Simulations for the time course of tacrolimus trough concentrations (a) and eGFR (b) in the four subpopulation groups under various daily doses. The dash lines in panel (a) represent the criteria of 6~10 ng/mL, and the dashed line in panel (b) stands for the 20% relative eGFR eGFR, estimated glomerular filtration rate.</w:t>
      </w:r>
    </w:p>
    <w:p w14:paraId="5AC7203D">
      <w:pPr>
        <w:widowControl/>
        <w:spacing w:line="480" w:lineRule="auto"/>
        <w:rPr>
          <w:rFonts w:ascii="Times New Roman" w:hAnsi="Times New Roman" w:cs="Times New Roman"/>
          <w:bCs/>
          <w:color w:val="000000"/>
          <w:szCs w:val="21"/>
        </w:rPr>
      </w:pPr>
      <w:r>
        <w:rPr>
          <w:rFonts w:ascii="Times New Roman" w:hAnsi="Times New Roman" w:cs="Times New Roman"/>
          <w:bCs/>
          <w:color w:val="000000"/>
          <w:szCs w:val="21"/>
        </w:rPr>
        <w:t>Supplementary Figure 4. Simulations for the time course of tacrolimus trough concentrations (a) and eGFR (b) in the four subpopulation groups under adaptive dosing regimen. Tacrolimus dose was increased or decreased by 0.5 mg each time and finally stopped at a maintaining dose. The dash lines in panel (a) represent the criteria of 6~10 ng/mL, and the dashed line in panel (b) stands for the 20% relative eGFR eGFR, estimated glomerular filtration rate.</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E572BC"/>
    <w:rsid w:val="1CC950A2"/>
    <w:rsid w:val="3AF13CEA"/>
    <w:rsid w:val="4AE572BC"/>
    <w:rsid w:val="72D77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rPr>
      <w:rFonts w:ascii="Tahoma" w:hAnsi="Tahoma" w:cs="Tahoma"/>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2025-08-07T09:10:00Z</dcterms:created>
  <dc:creator>过小溪</dc:creator>
  <cp:lastModifiedBy>过小溪</cp:lastModifiedBy>
  <dcterms:modified xsi:type="dcterms:W3CDTF">2025-08-07T09:13:26Z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4B2BBAD2508C4E5B95688C19107154ED_11</vt:lpwstr>
  </property>
  <property fmtid="{D5CDD505-2E9C-101B-9397-08002B2CF9AE}" pid="4" name="KSOTemplateDocerSaveRecord">
    <vt:lpwstr>eyJoZGlkIjoiNDFkMmNkMTFkMTRkOGIwMzU1MDY5MjA5NTcxMmM1NWUiLCJ1c2VySWQiOiIzODE0OTIwMjIifQ==</vt:lpwstr>
  </property>
</Properties>
</file>